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  <w:highlight w:val="none"/>
          <w:shd w:val="clear" w:color="auto" w:themeFill="background1" w:themeFillTint="FF" w:themeFillShade="F3"/>
        </w:rPr>
        <w:t>　　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  <w:shd w:val="clear" w:color="auto" w:themeFill="background1" w:themeFillTint="FF" w:themeFillShade="F3"/>
        </w:rPr>
        <w:t>　　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  <w:shd w:val="clear" w:color="auto" w:themeFill="background1" w:themeFillTint="FF" w:themeFillShade="F3"/>
        </w:rPr>
        <w:t>　　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spacing w:line="240" w:lineRule="exac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事業者名：</w:t>
      </w:r>
      <w:r>
        <w:rPr>
          <w:rFonts w:hint="eastAsia" w:ascii="ＭＳ 明朝" w:hAnsi="ＭＳ 明朝" w:eastAsia="ＭＳ 明朝"/>
          <w:shd w:val="clear" w:color="auto" w:themeFill="background1" w:themeFillTint="FF" w:themeFillShade="F3"/>
        </w:rPr>
        <w:t>　　　　　　　　　　</w:t>
      </w:r>
    </w:p>
    <w:p>
      <w:pPr>
        <w:pStyle w:val="0"/>
        <w:spacing w:line="240" w:lineRule="exact"/>
        <w:jc w:val="left"/>
        <w:rPr>
          <w:rFonts w:hint="eastAsia" w:ascii="ＭＳ 明朝" w:hAnsi="ＭＳ 明朝" w:eastAsia="ＭＳ 明朝"/>
        </w:rPr>
      </w:pPr>
    </w:p>
    <w:p>
      <w:pPr>
        <w:pStyle w:val="0"/>
        <w:tabs>
          <w:tab w:val="center" w:leader="none" w:pos="4536"/>
          <w:tab w:val="left" w:leader="none" w:pos="7984"/>
        </w:tabs>
        <w:jc w:val="both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ab/>
      </w:r>
      <w:r>
        <w:rPr>
          <w:rFonts w:hint="eastAsia" w:ascii="ＭＳ 明朝" w:hAnsi="ＭＳ 明朝" w:eastAsia="ＭＳ 明朝"/>
          <w:sz w:val="28"/>
        </w:rPr>
        <w:t>日常生活圏域内の事業所の状況調査票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24"/>
        <w:gridCol w:w="751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>
        <w:trPr>
          <w:trHeight w:val="180" w:hRule="atLeast"/>
        </w:trPr>
        <w:tc>
          <w:tcPr>
            <w:tcW w:w="302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利用者氏名</w:t>
            </w:r>
          </w:p>
        </w:tc>
        <w:tc>
          <w:tcPr>
            <w:tcW w:w="75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70" w:type="dxa"/>
            <w:gridSpan w:val="10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被保険者番号</w:t>
            </w:r>
          </w:p>
        </w:tc>
      </w:tr>
      <w:tr>
        <w:trPr>
          <w:trHeight w:val="520" w:hRule="atLeast"/>
        </w:trPr>
        <w:tc>
          <w:tcPr>
            <w:tcW w:w="302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様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dotted" w:color="000000" w:themeColor="text1" w:sz="4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dotted" w:color="000000" w:themeColor="text1" w:sz="4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dotted" w:color="000000" w:themeColor="text1" w:sz="4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dotted" w:color="000000" w:themeColor="text1" w:sz="4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dotted" w:color="000000" w:themeColor="text1" w:sz="4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dotted" w:color="000000" w:themeColor="text1" w:sz="4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dotted" w:color="000000" w:themeColor="text1" w:sz="4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dotted" w:color="000000" w:themeColor="text1" w:sz="4" w:space="0"/>
              <w:bottom w:val="none" w:color="auto" w:sz="0" w:space="0"/>
              <w:right w:val="dotted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dotted" w:color="000000" w:themeColor="text1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利用者の日常生活圏域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763"/>
      </w:tblGrid>
      <w:tr>
        <w:trPr/>
        <w:tc>
          <w:tcPr>
            <w:tcW w:w="425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市区町村名</w:t>
            </w:r>
          </w:p>
        </w:tc>
        <w:tc>
          <w:tcPr>
            <w:tcW w:w="47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圏域名</w:t>
            </w:r>
          </w:p>
        </w:tc>
      </w:tr>
      <w:tr>
        <w:trPr>
          <w:trHeight w:val="660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和光市</w:t>
            </w:r>
          </w:p>
        </w:tc>
        <w:tc>
          <w:tcPr>
            <w:tcW w:w="47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上記日常生活圏域内の事業所の状況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4400"/>
      </w:tblGrid>
      <w:tr>
        <w:trPr/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サービス種類</w:t>
            </w:r>
          </w:p>
        </w:tc>
        <w:tc>
          <w:tcPr>
            <w:tcW w:w="44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773"/>
      </w:tblGrid>
      <w:tr>
        <w:trPr>
          <w:trHeight w:val="210" w:hRule="atLeast"/>
        </w:trPr>
        <w:tc>
          <w:tcPr>
            <w:tcW w:w="425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事業所名</w:t>
            </w:r>
          </w:p>
        </w:tc>
        <w:tc>
          <w:tcPr>
            <w:tcW w:w="47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</w:tr>
      <w:tr>
        <w:trPr>
          <w:trHeight w:val="560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425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7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【参考】　和光市の日常生活圏域一覧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350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圏域の名称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ind w:firstLineChars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含まれる地域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北エリア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大字新倉、大字下新倉、新倉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8</w:t>
            </w:r>
            <w:r>
              <w:rPr>
                <w:rFonts w:hint="eastAsia" w:ascii="ＭＳ 明朝" w:hAnsi="ＭＳ 明朝" w:eastAsia="ＭＳ 明朝"/>
              </w:rPr>
              <w:t>丁目、下新倉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6</w:t>
            </w:r>
            <w:r>
              <w:rPr>
                <w:rFonts w:hint="eastAsia" w:ascii="ＭＳ 明朝" w:hAnsi="ＭＳ 明朝" w:eastAsia="ＭＳ 明朝"/>
              </w:rPr>
              <w:t>丁目、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白子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丁目</w:t>
            </w:r>
            <w:r>
              <w:rPr>
                <w:rFonts w:hint="eastAsia" w:ascii="ＭＳ 明朝" w:hAnsi="ＭＳ 明朝" w:eastAsia="ＭＳ 明朝"/>
              </w:rPr>
              <w:t>15</w:t>
            </w:r>
            <w:r>
              <w:rPr>
                <w:rFonts w:hint="eastAsia" w:ascii="ＭＳ 明朝" w:hAnsi="ＭＳ 明朝" w:eastAsia="ＭＳ 明朝"/>
              </w:rPr>
              <w:t>番～</w:t>
            </w:r>
            <w:r>
              <w:rPr>
                <w:rFonts w:hint="eastAsia" w:ascii="ＭＳ 明朝" w:hAnsi="ＭＳ 明朝" w:eastAsia="ＭＳ 明朝"/>
              </w:rPr>
              <w:t>22</w:t>
            </w:r>
            <w:r>
              <w:rPr>
                <w:rFonts w:hint="eastAsia" w:ascii="ＭＳ 明朝" w:hAnsi="ＭＳ 明朝" w:eastAsia="ＭＳ 明朝"/>
              </w:rPr>
              <w:t>番、白子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丁目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中央エリア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本町、中央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丁目、西大和団地、広沢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･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･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番、丸山台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丁目、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白子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丁目</w:t>
            </w:r>
            <w:r>
              <w:rPr>
                <w:rFonts w:hint="eastAsia" w:ascii="ＭＳ 明朝" w:hAnsi="ＭＳ 明朝" w:eastAsia="ＭＳ 明朝"/>
              </w:rPr>
              <w:t>24</w:t>
            </w:r>
            <w:r>
              <w:rPr>
                <w:rFonts w:hint="eastAsia" w:ascii="ＭＳ 明朝" w:hAnsi="ＭＳ 明朝" w:eastAsia="ＭＳ 明朝"/>
              </w:rPr>
              <w:t>の一部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和光パークファミリア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南エリア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白子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丁目、白子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丁目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14</w:t>
            </w:r>
            <w:r>
              <w:rPr>
                <w:rFonts w:hint="eastAsia" w:ascii="ＭＳ 明朝" w:hAnsi="ＭＳ 明朝" w:eastAsia="ＭＳ 明朝"/>
              </w:rPr>
              <w:t>番、</w:t>
            </w:r>
            <w:r>
              <w:rPr>
                <w:rFonts w:hint="eastAsia" w:ascii="ＭＳ 明朝" w:hAnsi="ＭＳ 明朝" w:eastAsia="ＭＳ 明朝"/>
              </w:rPr>
              <w:t>23</w:t>
            </w:r>
            <w:r>
              <w:rPr>
                <w:rFonts w:hint="eastAsia" w:ascii="ＭＳ 明朝" w:hAnsi="ＭＳ 明朝" w:eastAsia="ＭＳ 明朝"/>
              </w:rPr>
              <w:t>番、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24</w:t>
            </w:r>
            <w:r>
              <w:rPr>
                <w:rFonts w:hint="eastAsia" w:ascii="ＭＳ 明朝" w:hAnsi="ＭＳ 明朝" w:eastAsia="ＭＳ 明朝"/>
              </w:rPr>
              <w:t>番の一部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和光パークファミリアを除く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、</w:t>
            </w:r>
            <w:r>
              <w:rPr>
                <w:rFonts w:hint="eastAsia" w:ascii="ＭＳ 明朝" w:hAnsi="ＭＳ 明朝" w:eastAsia="ＭＳ 明朝"/>
              </w:rPr>
              <w:t>25</w:t>
            </w:r>
            <w:r>
              <w:rPr>
                <w:rFonts w:hint="eastAsia" w:ascii="ＭＳ 明朝" w:hAnsi="ＭＳ 明朝" w:eastAsia="ＭＳ 明朝"/>
              </w:rPr>
              <w:t>番～</w:t>
            </w:r>
            <w:r>
              <w:rPr>
                <w:rFonts w:hint="eastAsia" w:ascii="ＭＳ 明朝" w:hAnsi="ＭＳ 明朝" w:eastAsia="ＭＳ 明朝"/>
              </w:rPr>
              <w:t>28</w:t>
            </w:r>
            <w:r>
              <w:rPr>
                <w:rFonts w:hint="eastAsia" w:ascii="ＭＳ 明朝" w:hAnsi="ＭＳ 明朝" w:eastAsia="ＭＳ 明朝"/>
              </w:rPr>
              <w:t>番、諏訪、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諏訪原団地、広沢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番、南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丁目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※他の市区町村在住の利用者については、各市区町村の高齢者保健福祉計画・介護保健事業計画等でご確認ください。</w:t>
      </w:r>
    </w:p>
    <w:sectPr>
      <w:headerReference r:id="rId5" w:type="default"/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BIZ UDP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BIZ UDPゴシック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別紙</w:t>
    </w:r>
    <w:r>
      <w:rPr>
        <w:rFonts w:hint="eastAsia" w:ascii="ＭＳ 明朝" w:hAnsi="ＭＳ 明朝" w:eastAsia="ＭＳ 明朝"/>
      </w:rPr>
      <w:t>1</w:t>
    </w:r>
    <w:r>
      <w:rPr>
        <w:rFonts w:hint="eastAsia" w:ascii="ＭＳ 明朝" w:hAnsi="ＭＳ 明朝" w:eastAsia="ＭＳ 明朝"/>
        <w:sz w:val="22"/>
      </w:rPr>
      <w:t>（「正当な理由」の判断基準４の添付資料）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29</Words>
  <Characters>360</Characters>
  <Application>JUST Note</Application>
  <Lines>57</Lines>
  <Paragraphs>28</Paragraphs>
  <CharactersWithSpaces>408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安藤　拓人</cp:lastModifiedBy>
  <dcterms:created xsi:type="dcterms:W3CDTF">2023-01-19T02:30:00Z</dcterms:created>
  <dcterms:modified xsi:type="dcterms:W3CDTF">2023-02-01T06:15:00Z</dcterms:modified>
  <cp:revision>1</cp:revision>
</cp:coreProperties>
</file>